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61" w:rsidRDefault="005A1761" w:rsidP="005A1761">
      <w:pPr>
        <w:pStyle w:val="1"/>
        <w:shd w:val="clear" w:color="auto" w:fill="FFFFFF"/>
        <w:spacing w:before="0"/>
        <w:rPr>
          <w:rFonts w:ascii="Calibri" w:hAnsi="Calibri" w:cs="Calibri"/>
          <w:b/>
          <w:bCs/>
          <w:color w:val="333333"/>
          <w:sz w:val="28"/>
          <w:szCs w:val="28"/>
        </w:rPr>
      </w:pPr>
      <w:r w:rsidRPr="005A1761">
        <w:rPr>
          <w:rFonts w:ascii="Calibri" w:hAnsi="Calibri" w:cs="Calibri"/>
          <w:b/>
          <w:bCs/>
          <w:color w:val="333333"/>
          <w:sz w:val="28"/>
          <w:szCs w:val="28"/>
        </w:rPr>
        <w:t>Юрисдикции с высоким риском, подпадающие под действие призыва к действию-21 февраля 2020 года</w:t>
      </w:r>
    </w:p>
    <w:p w:rsidR="005A1761" w:rsidRDefault="005A1761" w:rsidP="005A1761">
      <w:pPr>
        <w:pStyle w:val="1"/>
        <w:shd w:val="clear" w:color="auto" w:fill="FFFFFF"/>
        <w:spacing w:before="0"/>
        <w:rPr>
          <w:rFonts w:ascii="Calibri" w:hAnsi="Calibri" w:cs="Calibri"/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page" w:horzAnchor="margin" w:tblpY="2236"/>
        <w:tblW w:w="0" w:type="auto"/>
        <w:tblBorders>
          <w:top w:val="single" w:sz="6" w:space="0" w:color="708090"/>
          <w:left w:val="single" w:sz="6" w:space="0" w:color="708090"/>
          <w:bottom w:val="single" w:sz="6" w:space="0" w:color="708090"/>
          <w:right w:val="single" w:sz="6" w:space="0" w:color="70809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9"/>
      </w:tblGrid>
      <w:tr w:rsidR="005A1761" w:rsidRPr="003C3C31" w:rsidTr="005A17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761" w:rsidRPr="005A1761" w:rsidRDefault="005A1761" w:rsidP="005A176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  <w:r w:rsidRPr="005A176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Страны с высоким уровнем риска имеют значительные стратегические недостатки в своих режимах борьбы с отмыванием денег, финансированием терроризма и финансированием распространения. В отношении всех стран, отнесенных к группе высокого риска, ФАТФ призывает всех членов и все юрисдикции проявлять повышенную должную осмотрительность, а в наиболее серьезных случаях страны должны применять контрмеры для защиты международной финансовой системы от рисков, связанных с отмыванием денег, финансированием терроризма и финансированием распространения (</w:t>
            </w: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ОД</w:t>
            </w:r>
            <w:r w:rsidRPr="005A176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ФТ</w:t>
            </w:r>
            <w:r w:rsidRPr="005A176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/</w:t>
            </w:r>
            <w:r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ФРОМУ</w:t>
            </w:r>
            <w:r w:rsidRPr="005A176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 xml:space="preserve">), исходящих из страны. Этот список часто </w:t>
            </w:r>
            <w:bookmarkStart w:id="0" w:name="_GoBack"/>
            <w:bookmarkEnd w:id="0"/>
            <w:r w:rsidRPr="005A1761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  <w:t>называют "черным списком".  *</w:t>
            </w:r>
          </w:p>
          <w:p w:rsidR="005A1761" w:rsidRPr="003C3C31" w:rsidRDefault="005A1761" w:rsidP="005A176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5A1761" w:rsidRDefault="005A1761" w:rsidP="005A1761">
      <w:pPr>
        <w:pStyle w:val="1"/>
        <w:shd w:val="clear" w:color="auto" w:fill="FFFFFF"/>
        <w:spacing w:before="0"/>
        <w:rPr>
          <w:rFonts w:ascii="Calibri" w:hAnsi="Calibri" w:cs="Calibri"/>
          <w:b/>
          <w:bCs/>
          <w:color w:val="333333"/>
          <w:sz w:val="28"/>
          <w:szCs w:val="28"/>
        </w:rPr>
      </w:pPr>
    </w:p>
    <w:p w:rsidR="005A1761" w:rsidRDefault="005A1761" w:rsidP="005A1761">
      <w:pPr>
        <w:pStyle w:val="1"/>
        <w:shd w:val="clear" w:color="auto" w:fill="FFFFFF"/>
        <w:spacing w:before="0"/>
        <w:rPr>
          <w:rFonts w:ascii="Calibri" w:hAnsi="Calibri" w:cs="Calibri"/>
          <w:b/>
          <w:bCs/>
          <w:color w:val="333333"/>
          <w:sz w:val="28"/>
          <w:szCs w:val="28"/>
        </w:rPr>
      </w:pPr>
    </w:p>
    <w:p w:rsidR="003C3C31" w:rsidRPr="00203745" w:rsidRDefault="00203745" w:rsidP="005A1761">
      <w:pPr>
        <w:pStyle w:val="1"/>
        <w:shd w:val="clear" w:color="auto" w:fill="FFFFFF"/>
        <w:spacing w:before="0"/>
        <w:rPr>
          <w:rFonts w:ascii="Calibri" w:eastAsia="Times New Roman" w:hAnsi="Calibri" w:cs="Calibri"/>
          <w:color w:val="333333"/>
          <w:sz w:val="46"/>
          <w:szCs w:val="46"/>
          <w:lang w:eastAsia="ru-RU"/>
        </w:rPr>
      </w:pPr>
      <w:r w:rsidRPr="00203745">
        <w:rPr>
          <w:rFonts w:ascii="Calibri" w:eastAsia="Times New Roman" w:hAnsi="Calibri" w:cs="Calibri"/>
          <w:color w:val="333333"/>
          <w:sz w:val="46"/>
          <w:szCs w:val="46"/>
          <w:lang w:eastAsia="ru-RU"/>
        </w:rPr>
        <w:t>Корейская Народно-Демократическая Республика (КНДР)</w:t>
      </w:r>
    </w:p>
    <w:p w:rsidR="00C7449C" w:rsidRPr="00C7449C" w:rsidRDefault="00C7449C" w:rsidP="005E695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C744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ФАТФ по-прежнему обеспокоена неспособностью КНДР устранить существенные недостатки в ее режиме борьбы с отмыванием денег и финансированием терроризма (ПОД/ФТ) и сер</w:t>
      </w:r>
      <w:r w:rsidR="005E6953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ьезные</w:t>
      </w:r>
      <w:r w:rsidRPr="00C744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угроз</w:t>
      </w:r>
      <w:r w:rsidR="005E6953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ы</w:t>
      </w:r>
      <w:r w:rsidRPr="00C744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, которые</w:t>
      </w:r>
      <w:r w:rsidR="005E6953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они</w:t>
      </w:r>
      <w:r w:rsidRPr="00C7449C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представляют для целостности международной финансовой системы. ФАТФ настоятельно призывает КНДР незамедлительно и целенаправленно заняться устранением своих недостатков в области ПОД/ФТ. Кроме того, ФАТФ серьезно обеспокоена угрозой, создаваемой незаконной деятельностью КНДР, связанной с распространением оружия массового уничтожения (ОМУ) и его финансированием.</w:t>
      </w:r>
    </w:p>
    <w:p w:rsidR="00970431" w:rsidRPr="00970431" w:rsidRDefault="00970431" w:rsidP="005E6953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97043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ФАТФ вновь обращается к своим членам с призывом от 25 февраля 2011 года и настоятельно призывает все юрисдикции рекомендовать своим финансовым учреждениям уделять особое внимание деловым отношениям и сделкам с КНДР, включая компании КНДР, финансовые учреждения и тех, кто действует от их имени. В дополнение к усилению контроля ФАТФ также призывает своих членов и настоятельно призывает все юрисдикции применять эффективные контрмеры и целенаправленные финансовые санкции в соответствии с применимыми резолюциями Совета Безопасности Организации Объединенных Наций для защиты своих финансовых секторов от рисков отмывания денег, финансирования терроризма и финансирования распространения (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ОД</w:t>
      </w:r>
      <w:r w:rsidRPr="0097043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/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ФТ</w:t>
      </w:r>
      <w:r w:rsidRPr="0097043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/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ФРОМУ</w:t>
      </w:r>
      <w:r w:rsidRPr="0097043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), исходящих от КНДР. Юрисдикции должны принять необходимые меры для закрытия существующих филиалов, дочерних предприятий и представительств банков КНДР на своей территории и прекращения корреспондентских отношений с банками КНДР, если это требуется соответствующими резолюциями СБ ООН.</w:t>
      </w:r>
    </w:p>
    <w:p w:rsidR="003C3C31" w:rsidRPr="006A236C" w:rsidRDefault="006A236C" w:rsidP="003C3C31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333333"/>
          <w:sz w:val="46"/>
          <w:szCs w:val="46"/>
          <w:lang w:eastAsia="ru-RU"/>
        </w:rPr>
      </w:pPr>
      <w:r>
        <w:rPr>
          <w:rFonts w:ascii="Calibri" w:eastAsia="Times New Roman" w:hAnsi="Calibri" w:cs="Calibri"/>
          <w:color w:val="333333"/>
          <w:sz w:val="46"/>
          <w:szCs w:val="46"/>
          <w:lang w:eastAsia="ru-RU"/>
        </w:rPr>
        <w:t>Иран</w:t>
      </w:r>
    </w:p>
    <w:p w:rsidR="003C3C31" w:rsidRPr="00F04D96" w:rsidRDefault="00F04D96" w:rsidP="003C3C3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F04D96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 июне 2016 года Иран взял на себя обязательство устранить свои стратегические недостатки. Срок действия плана действий Ирана истек в январе 2018 года. В феврале 2020 года ФАТФ отметила, что Иран не завершил план действий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.</w:t>
      </w:r>
      <w:hyperlink r:id="rId4" w:anchor="fn1" w:history="1">
        <w:r w:rsidR="003C3C31" w:rsidRPr="0089016E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>[1]</w:t>
        </w:r>
      </w:hyperlink>
    </w:p>
    <w:p w:rsidR="0089016E" w:rsidRPr="0089016E" w:rsidRDefault="0089016E" w:rsidP="003C3C3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89016E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В октябре 2019 года ФАТФ призвала своих членов и все юрисдикции: потребовать усиления надзорной проверки филиалов и дочерних компаний финансовых учреждений, базирующихся в Иране; ввести усовершенствованные соответствующие механизмы отчетности или систематической отчетности о финансовых операциях; и потребовать повышения требований к внешнему аудиту финансовых групп в отношении любого из их филиалов и дочерних компаний, расположенных в Иране.</w:t>
      </w:r>
    </w:p>
    <w:p w:rsidR="003C3C31" w:rsidRPr="004D4BE1" w:rsidRDefault="004D4BE1" w:rsidP="004D4BE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4D4BE1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Теперь, учитывая неспособность Ирана принять Палермскую конвенцию и Конвенцию о финансировании терроризма в соответствии со стандартами ФАТФ, ФАТФ полностью отменяет приостановление контрмер и призывает своих членов и все юрисдикции применять эффективные контрмеры в соо</w:t>
      </w: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тветствии с рекомендацией 19.</w:t>
      </w:r>
      <w:hyperlink r:id="rId5" w:anchor="fn2" w:history="1">
        <w:r w:rsidR="003C3C31" w:rsidRPr="00C47C0A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>[2]</w:t>
        </w:r>
      </w:hyperlink>
    </w:p>
    <w:p w:rsidR="00F7192F" w:rsidRPr="00C47C0A" w:rsidRDefault="00F7192F" w:rsidP="003C3C3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</w:p>
    <w:p w:rsidR="00F7192F" w:rsidRPr="00F7192F" w:rsidRDefault="00F7192F" w:rsidP="00A975E4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F7192F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lastRenderedPageBreak/>
        <w:t>Иран останется в заявлении ФАТФ по [юрисдикциям с высоким риском, подлежащим призыву к действию] до тех пор, пока не будет завершен полный план действий. Если Иран ратифицирует Палермскую конвенцию и Конвенцию о финансировании терроризма в соответствии со стандартами ФАТФ, ФАТФ примет решение о дальнейших шагах, включая вопрос о приостановлении контрмер. До тех пор, пока Иран не осуществит меры, необходимые для устранения недостатков, выявленных в плане действий по борьбе с финансированием терроризма, ФАТФ будет по-прежнему озабочена риском финансирования терроризма, исходящим от Ирана, и угрозой, которую это представляет для международной финансовой системы.</w:t>
      </w:r>
    </w:p>
    <w:p w:rsidR="003C3C31" w:rsidRPr="003C3C31" w:rsidRDefault="00D77C94" w:rsidP="003C3C31">
      <w:pPr>
        <w:shd w:val="clear" w:color="auto" w:fill="FFFFFF"/>
        <w:spacing w:before="300" w:after="300" w:line="240" w:lineRule="auto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pict>
          <v:rect id="_x0000_i1025" style="width:154.35pt;height:0" o:hrpct="330" o:hrstd="t" o:hr="t" fillcolor="#a0a0a0" stroked="f"/>
        </w:pict>
      </w:r>
    </w:p>
    <w:p w:rsidR="00D11439" w:rsidRPr="00D11439" w:rsidRDefault="00D11439" w:rsidP="00E82BC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bookmarkStart w:id="1" w:name="fn1"/>
      <w:bookmarkEnd w:id="1"/>
      <w:r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[1] В</w:t>
      </w:r>
      <w:r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июне 2016 года ФАТФ приветствовала политическое обязательство Ирана на высоком уровне устранить свои стратегические недостатки в области ПОД/ФТ и его решение обратиться за технической помощью в осуществлении плана действий. С 2016 года Иран установил режим декларирования наличных денег, принял поправки к своему закону О борьбе с финансированием терроризма и Закону О борьбе с отмыванием денег, а также принял подзаконный акт о борьбе с отмыванием денег.</w:t>
      </w:r>
    </w:p>
    <w:p w:rsidR="00D11439" w:rsidRPr="00D11439" w:rsidRDefault="00D11439" w:rsidP="00E82BC1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В феврале 2020 года ФАТФ отметила, что есть еще не завершенные пункты, и Ирану следует в полной мере заняться: (1) адекватной криминализацией финансирования терроризма, в том числе путем отмены изъятия для определенных групп “ "пытающихся положить конец иностранной оккупации, колониализму и расизму"; (2) выявлением и замораживанием террористических активов в соответствии с соответствующими резолюциями Совета Безопасности Организации Объединенных Наций; (3) </w:t>
      </w:r>
      <w:r w:rsidR="0005675B" w:rsidRPr="0005675B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обеспечение адекватного и обязательного режима надлежащей проверки клиентов</w:t>
      </w:r>
      <w:r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; (4) демонстрацией того, как власти выявляют и наказывают нелицензированных поставщиков услуг по переводу денег/ценностей; (5) ратификация и осуществление Палермской </w:t>
      </w:r>
      <w:r w:rsidR="00791BF5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конвенции </w:t>
      </w:r>
      <w:r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и конвенций</w:t>
      </w:r>
      <w:r w:rsidR="00791BF5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по </w:t>
      </w:r>
      <w:r w:rsidR="00791BF5"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ТФ</w:t>
      </w:r>
      <w:r w:rsidRPr="00D11439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 и уточнение возможностей оказания взаимной правовой помощи; и (6) обеспечение того, чтобы финансовые учреждения проверяли, что банковские переводы содержат полную информацию об отправителе и получателе.</w:t>
      </w:r>
    </w:p>
    <w:p w:rsidR="00E10712" w:rsidRPr="00312D30" w:rsidRDefault="00E10712" w:rsidP="00E10712">
      <w:pPr>
        <w:shd w:val="clear" w:color="auto" w:fill="FFFFFF"/>
        <w:spacing w:after="150" w:line="240" w:lineRule="auto"/>
        <w:jc w:val="both"/>
        <w:rPr>
          <w:rFonts w:ascii="Calibri" w:eastAsia="Times New Roman" w:hAnsi="Calibri" w:cs="Calibri"/>
          <w:color w:val="333333"/>
          <w:sz w:val="21"/>
          <w:szCs w:val="21"/>
          <w:lang w:eastAsia="ru-RU"/>
        </w:rPr>
      </w:pPr>
      <w:r w:rsidRPr="00E10712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 xml:space="preserve">[2] страны должны иметь возможность применять соответствующие контрмеры, когда к этому призывает ФАТФ. Страны также должны иметь возможность применять контрмеры независимо от любого призыва ФАТФ сделать это. </w:t>
      </w:r>
      <w:r w:rsidRPr="00312D30">
        <w:rPr>
          <w:rFonts w:ascii="Calibri" w:eastAsia="Times New Roman" w:hAnsi="Calibri" w:cs="Calibri"/>
          <w:color w:val="333333"/>
          <w:sz w:val="21"/>
          <w:szCs w:val="21"/>
          <w:lang w:eastAsia="ru-RU"/>
        </w:rPr>
        <w:t>Такие контрмеры должны быть эффективными и соразмерными рискам.</w:t>
      </w:r>
    </w:p>
    <w:p w:rsidR="00E10712" w:rsidRDefault="00E10712" w:rsidP="00E10712">
      <w:pPr>
        <w:shd w:val="clear" w:color="auto" w:fill="FFFFFF"/>
        <w:spacing w:after="150" w:line="240" w:lineRule="auto"/>
      </w:pPr>
      <w:r>
        <w:t xml:space="preserve">В пояснительной записке </w:t>
      </w:r>
      <w:r w:rsidRPr="00E10712">
        <w:t>(</w:t>
      </w:r>
      <w:hyperlink r:id="rId6" w:anchor="page=82" w:history="1">
        <w:r w:rsidRPr="003C3C31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val="en-US" w:eastAsia="ru-RU"/>
          </w:rPr>
          <w:t>The</w:t>
        </w:r>
        <w:r w:rsidRPr="00E10712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 xml:space="preserve"> </w:t>
        </w:r>
        <w:r w:rsidRPr="003C3C31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val="en-US" w:eastAsia="ru-RU"/>
          </w:rPr>
          <w:t>Interpretative</w:t>
        </w:r>
        <w:r w:rsidRPr="00E10712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 xml:space="preserve"> </w:t>
        </w:r>
        <w:r w:rsidRPr="003C3C31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val="en-US" w:eastAsia="ru-RU"/>
          </w:rPr>
          <w:t>Note</w:t>
        </w:r>
        <w:r w:rsidRPr="00E10712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 xml:space="preserve"> </w:t>
        </w:r>
        <w:r w:rsidRPr="003C3C31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val="en-US" w:eastAsia="ru-RU"/>
          </w:rPr>
          <w:t>to</w:t>
        </w:r>
        <w:r w:rsidRPr="00E10712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 xml:space="preserve"> </w:t>
        </w:r>
        <w:r w:rsidRPr="003C3C31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val="en-US" w:eastAsia="ru-RU"/>
          </w:rPr>
          <w:t>Recommendation</w:t>
        </w:r>
        <w:r w:rsidRPr="00E10712">
          <w:rPr>
            <w:rFonts w:ascii="Calibri" w:eastAsia="Times New Roman" w:hAnsi="Calibri" w:cs="Calibri"/>
            <w:color w:val="0090B4"/>
            <w:sz w:val="21"/>
            <w:szCs w:val="21"/>
            <w:u w:val="single"/>
            <w:lang w:eastAsia="ru-RU"/>
          </w:rPr>
          <w:t xml:space="preserve"> 19</w:t>
        </w:r>
      </w:hyperlink>
      <w:r w:rsidRPr="00E10712">
        <w:rPr>
          <w:rFonts w:ascii="Calibri" w:eastAsia="Times New Roman" w:hAnsi="Calibri" w:cs="Calibri"/>
          <w:color w:val="0090B4"/>
          <w:sz w:val="21"/>
          <w:szCs w:val="21"/>
          <w:u w:val="single"/>
          <w:lang w:eastAsia="ru-RU"/>
        </w:rPr>
        <w:t xml:space="preserve"> )</w:t>
      </w:r>
      <w:r>
        <w:t xml:space="preserve">к рекомендации 19 приводятся примеры контрмер, которые могут быть приняты странами. </w:t>
      </w:r>
    </w:p>
    <w:p w:rsidR="00E10712" w:rsidRPr="00B064C3" w:rsidRDefault="00E10712" w:rsidP="00E10712">
      <w:pPr>
        <w:shd w:val="clear" w:color="auto" w:fill="FFFFFF"/>
        <w:spacing w:after="150" w:line="240" w:lineRule="auto"/>
      </w:pPr>
      <w:r w:rsidRPr="00B064C3">
        <w:t xml:space="preserve"> </w:t>
      </w:r>
      <w:r w:rsidR="00B064C3" w:rsidRPr="00B064C3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* </w:t>
      </w:r>
      <w:r w:rsidR="00B064C3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Это заявление раньше называлось</w:t>
      </w:r>
      <w:r w:rsidR="00B064C3" w:rsidRPr="00B064C3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"</w:t>
      </w:r>
      <w:r w:rsidR="00B064C3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Публичное заявление</w:t>
      </w:r>
      <w:r w:rsidR="00B064C3" w:rsidRPr="00B064C3"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"</w:t>
      </w:r>
    </w:p>
    <w:p w:rsidR="003C3C31" w:rsidRPr="005A7B9E" w:rsidRDefault="00E10712" w:rsidP="003C3C31">
      <w:pPr>
        <w:pStyle w:val="a3"/>
        <w:shd w:val="clear" w:color="auto" w:fill="FFFFFF"/>
        <w:spacing w:before="0" w:beforeAutospacing="0" w:after="150" w:afterAutospacing="0"/>
        <w:rPr>
          <w:rFonts w:ascii="Calibri" w:hAnsi="Calibri" w:cs="Calibri"/>
          <w:color w:val="333333"/>
          <w:sz w:val="21"/>
          <w:szCs w:val="21"/>
        </w:rPr>
      </w:pPr>
      <w:r w:rsidRPr="005A7B9E">
        <w:rPr>
          <w:rFonts w:ascii="Calibri" w:hAnsi="Calibri" w:cs="Calibri"/>
          <w:color w:val="333333"/>
          <w:sz w:val="21"/>
          <w:szCs w:val="21"/>
        </w:rPr>
        <w:t>Больше по теме</w:t>
      </w:r>
      <w:r w:rsidR="003C3C31" w:rsidRPr="005A7B9E">
        <w:rPr>
          <w:rFonts w:ascii="Calibri" w:hAnsi="Calibri" w:cs="Calibri"/>
          <w:color w:val="333333"/>
          <w:sz w:val="21"/>
          <w:szCs w:val="21"/>
        </w:rPr>
        <w:t>:</w:t>
      </w:r>
    </w:p>
    <w:p w:rsidR="003C3C31" w:rsidRPr="00C47C0A" w:rsidRDefault="005A7B9E" w:rsidP="003C3C3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Calibri" w:hAnsi="Calibri" w:cs="Calibri"/>
          <w:color w:val="333333"/>
          <w:sz w:val="21"/>
          <w:szCs w:val="21"/>
        </w:rPr>
      </w:pPr>
      <w:r w:rsidRPr="005A7B9E">
        <w:t>Юрисдикции</w:t>
      </w:r>
      <w:r w:rsidRPr="00C47C0A">
        <w:t xml:space="preserve"> </w:t>
      </w:r>
      <w:r w:rsidRPr="005A7B9E">
        <w:t>под</w:t>
      </w:r>
      <w:r w:rsidRPr="00C47C0A">
        <w:t xml:space="preserve"> </w:t>
      </w:r>
      <w:r w:rsidRPr="005A7B9E">
        <w:t>усиленным</w:t>
      </w:r>
      <w:r w:rsidRPr="00C47C0A">
        <w:t xml:space="preserve"> </w:t>
      </w:r>
      <w:r w:rsidRPr="005A7B9E">
        <w:t>мониторингом</w:t>
      </w:r>
      <w:r w:rsidRPr="00C47C0A">
        <w:t>-</w:t>
      </w:r>
      <w:r w:rsidRPr="005A7B9E">
        <w:t>февраль</w:t>
      </w:r>
      <w:r w:rsidRPr="00C47C0A">
        <w:t xml:space="preserve"> 2020 </w:t>
      </w:r>
      <w:r w:rsidRPr="005A7B9E">
        <w:t>г</w:t>
      </w:r>
      <w:r w:rsidRPr="00C47C0A">
        <w:t>. (</w:t>
      </w:r>
      <w:hyperlink r:id="rId7" w:history="1"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Jurisdictions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under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Increased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Monitoring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-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 February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2020</w:t>
        </w:r>
      </w:hyperlink>
      <w:r w:rsidRPr="00C47C0A">
        <w:rPr>
          <w:rStyle w:val="a4"/>
          <w:rFonts w:ascii="Calibri" w:hAnsi="Calibri" w:cs="Calibri"/>
          <w:color w:val="0090B4"/>
          <w:sz w:val="21"/>
          <w:szCs w:val="21"/>
          <w:u w:val="none"/>
        </w:rPr>
        <w:t>)</w:t>
      </w:r>
    </w:p>
    <w:p w:rsidR="003C3C31" w:rsidRPr="00C47C0A" w:rsidRDefault="00D2567D" w:rsidP="003C3C31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Calibri" w:hAnsi="Calibri" w:cs="Calibri"/>
          <w:color w:val="333333"/>
          <w:sz w:val="21"/>
          <w:szCs w:val="21"/>
        </w:rPr>
      </w:pPr>
      <w:r w:rsidRPr="00D2567D">
        <w:t>Итоги</w:t>
      </w:r>
      <w:r w:rsidRPr="00C47C0A">
        <w:t xml:space="preserve"> </w:t>
      </w:r>
      <w:r w:rsidRPr="00D2567D">
        <w:t>пленарного</w:t>
      </w:r>
      <w:r w:rsidRPr="00C47C0A">
        <w:t xml:space="preserve"> </w:t>
      </w:r>
      <w:r w:rsidRPr="00D2567D">
        <w:t>заседания</w:t>
      </w:r>
      <w:r w:rsidRPr="00C47C0A">
        <w:t xml:space="preserve"> </w:t>
      </w:r>
      <w:r w:rsidRPr="00D2567D">
        <w:t>ФАТФ</w:t>
      </w:r>
      <w:r w:rsidRPr="00C47C0A">
        <w:t xml:space="preserve"> </w:t>
      </w:r>
      <w:r w:rsidRPr="00D2567D">
        <w:t>Париж</w:t>
      </w:r>
      <w:r w:rsidRPr="00C47C0A">
        <w:t xml:space="preserve">, 19-21 </w:t>
      </w:r>
      <w:r w:rsidRPr="00D2567D">
        <w:t>февраля</w:t>
      </w:r>
      <w:r w:rsidRPr="00C47C0A">
        <w:t xml:space="preserve"> 2020 </w:t>
      </w:r>
      <w:r w:rsidRPr="00D2567D">
        <w:t>года</w:t>
      </w:r>
      <w:r w:rsidRPr="00C47C0A">
        <w:t xml:space="preserve"> (</w:t>
      </w:r>
      <w:hyperlink r:id="rId8" w:history="1"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Outcomes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FATF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Plenary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Paris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, 19-21 </w:t>
        </w:r>
        <w:r w:rsidR="003C3C31" w:rsidRPr="003C3C31">
          <w:rPr>
            <w:rStyle w:val="a4"/>
            <w:rFonts w:ascii="Calibri" w:hAnsi="Calibri" w:cs="Calibri"/>
            <w:color w:val="0090B4"/>
            <w:sz w:val="21"/>
            <w:szCs w:val="21"/>
            <w:u w:val="none"/>
            <w:lang w:val="en-US"/>
          </w:rPr>
          <w:t>February</w:t>
        </w:r>
        <w:r w:rsidR="003C3C31" w:rsidRPr="00C47C0A">
          <w:rPr>
            <w:rStyle w:val="a4"/>
            <w:rFonts w:ascii="Calibri" w:hAnsi="Calibri" w:cs="Calibri"/>
            <w:color w:val="0090B4"/>
            <w:sz w:val="21"/>
            <w:szCs w:val="21"/>
            <w:u w:val="none"/>
          </w:rPr>
          <w:t xml:space="preserve"> 2020</w:t>
        </w:r>
      </w:hyperlink>
      <w:r w:rsidRPr="00C47C0A">
        <w:rPr>
          <w:rStyle w:val="a4"/>
          <w:rFonts w:ascii="Calibri" w:hAnsi="Calibri" w:cs="Calibri"/>
          <w:color w:val="0090B4"/>
          <w:sz w:val="21"/>
          <w:szCs w:val="21"/>
          <w:u w:val="none"/>
        </w:rPr>
        <w:t>)</w:t>
      </w:r>
    </w:p>
    <w:p w:rsidR="008C4987" w:rsidRPr="00C47C0A" w:rsidRDefault="008C4987"/>
    <w:sectPr w:rsidR="008C4987" w:rsidRPr="00C4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65"/>
    <w:rsid w:val="0005675B"/>
    <w:rsid w:val="000A1233"/>
    <w:rsid w:val="00203745"/>
    <w:rsid w:val="00312D30"/>
    <w:rsid w:val="00351B0D"/>
    <w:rsid w:val="003B0249"/>
    <w:rsid w:val="003C08FB"/>
    <w:rsid w:val="003C3C31"/>
    <w:rsid w:val="004025F4"/>
    <w:rsid w:val="0045755B"/>
    <w:rsid w:val="004D4BE1"/>
    <w:rsid w:val="005A1761"/>
    <w:rsid w:val="005A7B9E"/>
    <w:rsid w:val="005E6953"/>
    <w:rsid w:val="006A236C"/>
    <w:rsid w:val="00791BF5"/>
    <w:rsid w:val="0089016E"/>
    <w:rsid w:val="008C4987"/>
    <w:rsid w:val="00970431"/>
    <w:rsid w:val="00A975E4"/>
    <w:rsid w:val="00AF084F"/>
    <w:rsid w:val="00B064C3"/>
    <w:rsid w:val="00C47C0A"/>
    <w:rsid w:val="00C7449C"/>
    <w:rsid w:val="00CA756D"/>
    <w:rsid w:val="00D11439"/>
    <w:rsid w:val="00D16E10"/>
    <w:rsid w:val="00D2567D"/>
    <w:rsid w:val="00D77C94"/>
    <w:rsid w:val="00DF4465"/>
    <w:rsid w:val="00E10712"/>
    <w:rsid w:val="00E74B22"/>
    <w:rsid w:val="00E82BC1"/>
    <w:rsid w:val="00F04D96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AF5B3-70DE-480B-9FAA-917F30F9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C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C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C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3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tf-gafi.org/publications/fatfgeneral/documents/outcomes-fatf-plenary-february-202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tf-gafi.org/publications/high-risk-and-other-monitored-jurisdictions/documents/increased-monitoring-february-202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tf-gafi.org/media/fatf/documents/recommendations/pdfs/FATF%20Recommendations%202012.pdf" TargetMode="External"/><Relationship Id="rId5" Type="http://schemas.openxmlformats.org/officeDocument/2006/relationships/hyperlink" Target="https://www.fatf-gafi.org/publications/high-risk-and-other-monitored-jurisdictions/documents/call-for-action-february-2020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tf-gafi.org/publications/high-risk-and-other-monitored-jurisdictions/documents/call-for-action-february-202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Чолпон Бекболот кызы</dc:creator>
  <cp:keywords/>
  <dc:description/>
  <cp:lastModifiedBy>Тимур Сабиров</cp:lastModifiedBy>
  <cp:revision>6</cp:revision>
  <dcterms:created xsi:type="dcterms:W3CDTF">2020-02-24T08:32:00Z</dcterms:created>
  <dcterms:modified xsi:type="dcterms:W3CDTF">2020-03-03T10:08:00Z</dcterms:modified>
</cp:coreProperties>
</file>